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F4" w:rsidRPr="00B41855" w:rsidRDefault="00CC29F4" w:rsidP="00CC29F4">
      <w:pPr>
        <w:pStyle w:val="Style1"/>
        <w:widowControl/>
        <w:spacing w:line="326" w:lineRule="exact"/>
        <w:ind w:firstLine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Р</w:t>
      </w:r>
      <w:r w:rsidRPr="00B41855">
        <w:rPr>
          <w:rStyle w:val="FontStyle14"/>
          <w:b/>
          <w:sz w:val="28"/>
          <w:szCs w:val="28"/>
        </w:rPr>
        <w:t>ОССИЙСКАЯ ФЕДЕРАЦИЯ</w:t>
      </w:r>
    </w:p>
    <w:p w:rsidR="00CC29F4" w:rsidRPr="00B41855" w:rsidRDefault="00CC29F4" w:rsidP="00CC29F4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Черемховский район Иркутская область</w:t>
      </w:r>
    </w:p>
    <w:p w:rsidR="00CC29F4" w:rsidRPr="00B41855" w:rsidRDefault="00CC29F4" w:rsidP="00CC29F4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Онотское муниципальное образование</w:t>
      </w:r>
    </w:p>
    <w:p w:rsidR="00CC29F4" w:rsidRPr="00B41855" w:rsidRDefault="00CC29F4" w:rsidP="00CC29F4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Администрация</w:t>
      </w:r>
    </w:p>
    <w:p w:rsidR="00CC29F4" w:rsidRPr="00B41855" w:rsidRDefault="00CC29F4" w:rsidP="00CC29F4">
      <w:pPr>
        <w:pStyle w:val="Style1"/>
        <w:widowControl/>
        <w:spacing w:line="326" w:lineRule="exact"/>
        <w:ind w:firstLine="0"/>
        <w:jc w:val="center"/>
        <w:rPr>
          <w:b/>
          <w:bCs/>
          <w:sz w:val="28"/>
          <w:szCs w:val="28"/>
        </w:rPr>
      </w:pPr>
    </w:p>
    <w:p w:rsidR="00CC29F4" w:rsidRPr="00B41855" w:rsidRDefault="00CC29F4" w:rsidP="00CC2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29F4" w:rsidRPr="00B41855" w:rsidRDefault="00CC29F4" w:rsidP="00CC2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4" w:rsidRPr="00B41855" w:rsidRDefault="00CC29F4" w:rsidP="00CC29F4">
      <w:pPr>
        <w:pStyle w:val="Style2"/>
        <w:widowControl/>
        <w:ind w:right="22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22.10.2019 г</w:t>
      </w:r>
      <w:r>
        <w:rPr>
          <w:rStyle w:val="FontStyle12"/>
          <w:sz w:val="28"/>
          <w:szCs w:val="28"/>
        </w:rPr>
        <w:tab/>
      </w:r>
      <w:r w:rsidRPr="00D50036">
        <w:rPr>
          <w:rStyle w:val="FontStyle12"/>
          <w:sz w:val="28"/>
          <w:szCs w:val="28"/>
        </w:rPr>
        <w:t xml:space="preserve"> № </w:t>
      </w:r>
      <w:r>
        <w:rPr>
          <w:rStyle w:val="FontStyle12"/>
          <w:sz w:val="28"/>
          <w:szCs w:val="28"/>
        </w:rPr>
        <w:t>73</w:t>
      </w:r>
    </w:p>
    <w:p w:rsidR="00CC29F4" w:rsidRPr="00B41855" w:rsidRDefault="00CC29F4" w:rsidP="00CC29F4">
      <w:pPr>
        <w:pStyle w:val="Style2"/>
        <w:widowControl/>
        <w:ind w:right="2208"/>
        <w:rPr>
          <w:rStyle w:val="FontStyle12"/>
          <w:sz w:val="28"/>
          <w:szCs w:val="28"/>
        </w:rPr>
      </w:pPr>
      <w:r w:rsidRPr="00B41855">
        <w:rPr>
          <w:rStyle w:val="FontStyle12"/>
          <w:sz w:val="28"/>
          <w:szCs w:val="28"/>
        </w:rPr>
        <w:t>с. Онот</w:t>
      </w:r>
    </w:p>
    <w:p w:rsidR="00CC29F4" w:rsidRDefault="00CC29F4" w:rsidP="00CC29F4"/>
    <w:p w:rsidR="00CC29F4" w:rsidRPr="00E62B81" w:rsidRDefault="00CC29F4" w:rsidP="00CC29F4">
      <w:pPr>
        <w:ind w:right="3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B81">
        <w:rPr>
          <w:rFonts w:ascii="Times New Roman" w:hAnsi="Times New Roman" w:cs="Times New Roman"/>
          <w:b/>
          <w:sz w:val="28"/>
          <w:szCs w:val="28"/>
        </w:rPr>
        <w:t>«О внесении изменений в муниципальную программу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от 23.01.2019 г №5</w:t>
      </w:r>
      <w:r w:rsidRPr="00E62B81">
        <w:rPr>
          <w:rFonts w:ascii="Times New Roman" w:hAnsi="Times New Roman" w:cs="Times New Roman"/>
          <w:b/>
          <w:sz w:val="28"/>
          <w:szCs w:val="28"/>
        </w:rPr>
        <w:t>»</w:t>
      </w:r>
    </w:p>
    <w:p w:rsidR="00CC29F4" w:rsidRDefault="00CC29F4" w:rsidP="00774635">
      <w:pPr>
        <w:pStyle w:val="4"/>
        <w:shd w:val="clear" w:color="auto" w:fill="auto"/>
        <w:spacing w:before="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Pr="00C741FB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среды»,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годы», постановлением </w:t>
      </w:r>
      <w:r>
        <w:rPr>
          <w:rFonts w:ascii="Times New Roman" w:hAnsi="Times New Roman"/>
          <w:sz w:val="28"/>
          <w:szCs w:val="28"/>
        </w:rPr>
        <w:t>Правительства Иркутской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от 19 июля 2019 г №568-пп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 на 2019 г», руководствуясь </w:t>
      </w:r>
      <w:r w:rsidRPr="00C741FB">
        <w:rPr>
          <w:rFonts w:ascii="Times New Roman" w:hAnsi="Times New Roman"/>
          <w:sz w:val="28"/>
          <w:szCs w:val="28"/>
        </w:rPr>
        <w:t>статьями 32, 43 Устава Онотского муниципального образования, администрация Онотского муниципального образования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C29F4" w:rsidRPr="00E62B81" w:rsidRDefault="00CC29F4" w:rsidP="00774635">
      <w:pPr>
        <w:pStyle w:val="4"/>
        <w:shd w:val="clear" w:color="auto" w:fill="auto"/>
        <w:spacing w:before="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9F4" w:rsidRPr="00E62B81" w:rsidRDefault="00CC29F4" w:rsidP="007746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62B8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62B8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62B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62B81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C29F4" w:rsidRDefault="00CC29F4" w:rsidP="00774635">
      <w:pPr>
        <w:pStyle w:val="af1"/>
        <w:numPr>
          <w:ilvl w:val="0"/>
          <w:numId w:val="1"/>
        </w:numPr>
        <w:spacing w:line="240" w:lineRule="auto"/>
        <w:ind w:left="448" w:hanging="4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>Внести в муниципальную программу «Ор</w:t>
      </w:r>
      <w:r w:rsidR="00774635">
        <w:rPr>
          <w:rFonts w:ascii="Times New Roman" w:hAnsi="Times New Roman" w:cs="Times New Roman"/>
          <w:sz w:val="28"/>
          <w:szCs w:val="28"/>
        </w:rPr>
        <w:t xml:space="preserve">ганизация деятельности по </w:t>
      </w:r>
      <w:r w:rsidRPr="000C33FD">
        <w:rPr>
          <w:rFonts w:ascii="Times New Roman" w:hAnsi="Times New Roman" w:cs="Times New Roman"/>
          <w:sz w:val="28"/>
          <w:szCs w:val="28"/>
        </w:rPr>
        <w:t>накоплению и транспортированию твердых коммунальных отходов на территории Онотского муниципальног</w:t>
      </w:r>
      <w:r w:rsidR="0078201A">
        <w:rPr>
          <w:rFonts w:ascii="Times New Roman" w:hAnsi="Times New Roman" w:cs="Times New Roman"/>
          <w:sz w:val="28"/>
          <w:szCs w:val="28"/>
        </w:rPr>
        <w:t xml:space="preserve">о образования на 2019-2021 годы, утвержденную постановлением администрации Онотского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от 23.01.2019 г</w:t>
      </w:r>
      <w:r w:rsidR="00774635">
        <w:rPr>
          <w:rFonts w:ascii="Times New Roman" w:hAnsi="Times New Roman" w:cs="Times New Roman"/>
          <w:sz w:val="28"/>
          <w:szCs w:val="28"/>
        </w:rPr>
        <w:t xml:space="preserve"> №5</w:t>
      </w:r>
      <w:r w:rsidR="0078201A">
        <w:rPr>
          <w:rFonts w:ascii="Times New Roman" w:hAnsi="Times New Roman" w:cs="Times New Roman"/>
          <w:sz w:val="28"/>
          <w:szCs w:val="28"/>
        </w:rPr>
        <w:t>» (с изменениями, внесенными постановлением администрации Онотского муниципального образования от 06.08.2019 г №58),  следующие изменения</w:t>
      </w:r>
      <w:r w:rsidRPr="000C33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201A" w:rsidRDefault="0078201A" w:rsidP="00774635">
      <w:pPr>
        <w:pStyle w:val="af1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графу 1 «объем и источники финансирования муниципальной программы» раздела «Паспорт муниципальной программы»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7195"/>
      </w:tblGrid>
      <w:tr w:rsidR="0078201A" w:rsidRPr="000C33FD" w:rsidTr="00392F11">
        <w:trPr>
          <w:jc w:val="center"/>
        </w:trPr>
        <w:tc>
          <w:tcPr>
            <w:tcW w:w="1548" w:type="pct"/>
          </w:tcPr>
          <w:p w:rsidR="0078201A" w:rsidRPr="000C33FD" w:rsidRDefault="0078201A" w:rsidP="0078201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3452" w:type="pct"/>
            <w:shd w:val="clear" w:color="auto" w:fill="auto"/>
          </w:tcPr>
          <w:p w:rsidR="0078201A" w:rsidRPr="000C33FD" w:rsidRDefault="0078201A" w:rsidP="00392F1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программы осуществляется за счет:</w:t>
            </w:r>
          </w:p>
          <w:p w:rsidR="0078201A" w:rsidRPr="000C33FD" w:rsidRDefault="0078201A" w:rsidP="00392F1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 бюджета Иркутской области;</w:t>
            </w:r>
          </w:p>
          <w:p w:rsidR="0078201A" w:rsidRPr="000C33FD" w:rsidRDefault="0078201A" w:rsidP="00392F1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 бюджета Онотского муниципального образования.</w:t>
            </w:r>
          </w:p>
          <w:p w:rsidR="0078201A" w:rsidRPr="000C33FD" w:rsidRDefault="0078201A" w:rsidP="00392F1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Программы составляет 8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7,0 тыс. руб., в том числе по годам:</w:t>
            </w:r>
          </w:p>
          <w:p w:rsidR="0078201A" w:rsidRPr="000C33FD" w:rsidRDefault="0078201A" w:rsidP="00392F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78201A" w:rsidRPr="000C33FD" w:rsidRDefault="0078201A" w:rsidP="00392F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3,5 тыс. руб.</w:t>
            </w:r>
          </w:p>
          <w:p w:rsidR="0078201A" w:rsidRPr="000C33FD" w:rsidRDefault="0078201A" w:rsidP="00392F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3,5 тыс. руб.</w:t>
            </w:r>
          </w:p>
          <w:p w:rsidR="0078201A" w:rsidRPr="000C33FD" w:rsidRDefault="0078201A" w:rsidP="00392F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может ежегодно корректироваться в связи с изменениями уровня инфляции и уточняться при формировании бюджета Онотского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78201A" w:rsidRDefault="0078201A" w:rsidP="00782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B4C" w:rsidRDefault="006B2B4C" w:rsidP="006B2B4C">
      <w:pPr>
        <w:pStyle w:val="af1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«</w:t>
      </w:r>
      <w:r w:rsidRPr="006B2B4C">
        <w:rPr>
          <w:rFonts w:ascii="Times New Roman" w:hAnsi="Times New Roman" w:cs="Times New Roman"/>
          <w:sz w:val="28"/>
          <w:szCs w:val="28"/>
        </w:rPr>
        <w:t>Объем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B2B4C" w:rsidRDefault="006B2B4C" w:rsidP="006B2B4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4C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бюджета Иркутской области, бюджета Онотского муниципального образования (Приложение 1 к программе).</w:t>
      </w:r>
    </w:p>
    <w:p w:rsidR="006B2B4C" w:rsidRDefault="006B2B4C" w:rsidP="006B2B4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4C">
        <w:rPr>
          <w:rFonts w:ascii="Times New Roman" w:hAnsi="Times New Roman" w:cs="Times New Roman"/>
          <w:sz w:val="28"/>
          <w:szCs w:val="28"/>
        </w:rPr>
        <w:t xml:space="preserve">Потребность в финансировании мероприятий Программы составляет </w:t>
      </w:r>
      <w:r w:rsidRPr="006B2B4C">
        <w:rPr>
          <w:rFonts w:ascii="Times New Roman" w:hAnsi="Times New Roman" w:cs="Times New Roman"/>
          <w:b/>
          <w:sz w:val="28"/>
          <w:szCs w:val="28"/>
        </w:rPr>
        <w:t>4902,0 тыс.</w:t>
      </w:r>
      <w:r w:rsidRPr="006B2B4C">
        <w:rPr>
          <w:rFonts w:ascii="Times New Roman" w:hAnsi="Times New Roman" w:cs="Times New Roman"/>
          <w:sz w:val="28"/>
          <w:szCs w:val="28"/>
        </w:rPr>
        <w:t xml:space="preserve"> рублей. Объем финансирования из местного бюджета составляет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B2B4C">
        <w:rPr>
          <w:rFonts w:ascii="Times New Roman" w:hAnsi="Times New Roman" w:cs="Times New Roman"/>
          <w:b/>
          <w:sz w:val="28"/>
          <w:szCs w:val="28"/>
        </w:rPr>
        <w:t>7,0</w:t>
      </w:r>
      <w:r w:rsidRPr="006B2B4C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6B2B4C" w:rsidRDefault="006B2B4C" w:rsidP="006B2B4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4C">
        <w:rPr>
          <w:rFonts w:ascii="Times New Roman" w:hAnsi="Times New Roman" w:cs="Times New Roman"/>
          <w:sz w:val="28"/>
          <w:szCs w:val="28"/>
        </w:rPr>
        <w:t>в 2019 году – 00,0 тыс. рублей;</w:t>
      </w:r>
    </w:p>
    <w:p w:rsidR="006B2B4C" w:rsidRDefault="006B2B4C" w:rsidP="006B2B4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4C">
        <w:rPr>
          <w:rFonts w:ascii="Times New Roman" w:hAnsi="Times New Roman" w:cs="Times New Roman"/>
          <w:sz w:val="28"/>
          <w:szCs w:val="28"/>
        </w:rPr>
        <w:t>в 2020 году – 43,5 тыс. руб.;</w:t>
      </w:r>
    </w:p>
    <w:p w:rsidR="006B2B4C" w:rsidRDefault="006B2B4C" w:rsidP="006B2B4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4C">
        <w:rPr>
          <w:rFonts w:ascii="Times New Roman" w:hAnsi="Times New Roman" w:cs="Times New Roman"/>
          <w:sz w:val="28"/>
          <w:szCs w:val="28"/>
        </w:rPr>
        <w:t>в 2021 году – 43,5 тыс. руб.</w:t>
      </w:r>
    </w:p>
    <w:p w:rsidR="006B2B4C" w:rsidRPr="006B2B4C" w:rsidRDefault="006B2B4C" w:rsidP="006B2B4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4C">
        <w:rPr>
          <w:rFonts w:ascii="Times New Roman" w:hAnsi="Times New Roman" w:cs="Times New Roman"/>
          <w:sz w:val="28"/>
          <w:szCs w:val="28"/>
        </w:rPr>
        <w:t>Объем финансирования Программы может ежегодно уточняться при формировании бюджета Онотского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78201A" w:rsidRPr="0078201A" w:rsidRDefault="006B2B4C" w:rsidP="007820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Приложение №1 к муниципальной программе </w:t>
      </w:r>
      <w:r w:rsidRPr="006B2B4C">
        <w:rPr>
          <w:rFonts w:ascii="Times New Roman" w:hAnsi="Times New Roman" w:cs="Times New Roman"/>
          <w:sz w:val="28"/>
          <w:szCs w:val="28"/>
        </w:rPr>
        <w:t>«Объемы и источники финансирования муниципальной программы» изложить в редакции приложения к настоящему постановлению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2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4" w:rsidRDefault="00CC29F4" w:rsidP="00CC29F4">
      <w:pPr>
        <w:pStyle w:val="af1"/>
        <w:numPr>
          <w:ilvl w:val="0"/>
          <w:numId w:val="1"/>
        </w:numPr>
        <w:tabs>
          <w:tab w:val="num" w:pos="18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DA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администрации Онотского муниципального образования И.И. </w:t>
      </w:r>
      <w:proofErr w:type="gramStart"/>
      <w:r w:rsidRPr="001E29DA">
        <w:rPr>
          <w:rFonts w:ascii="Times New Roman" w:hAnsi="Times New Roman" w:cs="Times New Roman"/>
          <w:bCs/>
          <w:sz w:val="28"/>
          <w:szCs w:val="28"/>
        </w:rPr>
        <w:t>Хороших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C29F4" w:rsidRPr="00CC29F4" w:rsidRDefault="00CC29F4" w:rsidP="00CC29F4">
      <w:pPr>
        <w:pStyle w:val="af1"/>
        <w:numPr>
          <w:ilvl w:val="1"/>
          <w:numId w:val="1"/>
        </w:numPr>
        <w:tabs>
          <w:tab w:val="num" w:pos="18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9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Внести в оригинал Постановления от 23.01.2019 г №5 «Об утверждении муниципальной программы  «</w:t>
      </w:r>
      <w:r w:rsidRPr="00CC29F4">
        <w:rPr>
          <w:rFonts w:ascii="Times New Roman" w:hAnsi="Times New Roman" w:cs="Times New Roman"/>
          <w:sz w:val="28"/>
          <w:szCs w:val="28"/>
        </w:rPr>
        <w:t>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 информационную справку о дате внесения в него изменений.</w:t>
      </w:r>
      <w:r w:rsidRPr="00CC29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29F4" w:rsidRPr="001E29DA" w:rsidRDefault="00CC29F4" w:rsidP="00CC29F4">
      <w:pPr>
        <w:pStyle w:val="af1"/>
        <w:numPr>
          <w:ilvl w:val="1"/>
          <w:numId w:val="1"/>
        </w:numPr>
        <w:tabs>
          <w:tab w:val="num" w:pos="18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E29DA">
        <w:rPr>
          <w:rFonts w:ascii="Times New Roman" w:hAnsi="Times New Roman" w:cs="Times New Roman"/>
          <w:bCs/>
          <w:sz w:val="28"/>
          <w:szCs w:val="28"/>
        </w:rPr>
        <w:t xml:space="preserve">публиковать настоящее постановление в издании «Онотский вестник» и разместить в подразделе Онотского муниципального образования раздела «Поселения района» </w:t>
      </w:r>
      <w:r w:rsidRPr="001E29DA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1E29DA">
        <w:rPr>
          <w:rFonts w:ascii="Times New Roman" w:hAnsi="Times New Roman" w:cs="Times New Roman"/>
        </w:rPr>
        <w:t xml:space="preserve"> </w:t>
      </w:r>
      <w:r w:rsidRPr="001E29DA">
        <w:rPr>
          <w:rFonts w:ascii="Times New Roman" w:hAnsi="Times New Roman" w:cs="Times New Roman"/>
          <w:bCs/>
          <w:sz w:val="28"/>
          <w:szCs w:val="28"/>
        </w:rPr>
        <w:t xml:space="preserve">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1E29DA">
        <w:rPr>
          <w:rFonts w:ascii="Times New Roman" w:hAnsi="Times New Roman" w:cs="Times New Roman"/>
          <w:bCs/>
          <w:sz w:val="28"/>
          <w:szCs w:val="28"/>
        </w:rPr>
        <w:t>cher.irkobl.ru</w:t>
      </w:r>
      <w:proofErr w:type="spellEnd"/>
      <w:r w:rsidRPr="001E29DA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9F4" w:rsidRPr="001E29DA" w:rsidRDefault="00D0099B" w:rsidP="00CC29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29F4" w:rsidRPr="001E29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29F4" w:rsidRPr="001E29D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C29F4" w:rsidRPr="001E29D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главу </w:t>
      </w:r>
      <w:r w:rsidR="00CC29F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C29F4" w:rsidRPr="001E29DA">
        <w:rPr>
          <w:rFonts w:ascii="Times New Roman" w:hAnsi="Times New Roman" w:cs="Times New Roman"/>
          <w:bCs/>
          <w:sz w:val="28"/>
          <w:szCs w:val="28"/>
        </w:rPr>
        <w:t>Онотского муниципального образования В.М. Кочеткова.</w:t>
      </w:r>
    </w:p>
    <w:p w:rsidR="00CC29F4" w:rsidRDefault="00CC29F4" w:rsidP="00CC29F4">
      <w:pPr>
        <w:rPr>
          <w:sz w:val="28"/>
          <w:szCs w:val="28"/>
        </w:rPr>
      </w:pPr>
    </w:p>
    <w:p w:rsidR="00CC29F4" w:rsidRDefault="00CC29F4" w:rsidP="00CC29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29F4" w:rsidRDefault="00CC29F4" w:rsidP="00CC29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29F4" w:rsidRPr="001E29DA" w:rsidRDefault="00CC29F4" w:rsidP="00CC29F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29DA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CC29F4" w:rsidRPr="001E29DA" w:rsidRDefault="00CC29F4" w:rsidP="00CC29F4">
      <w:pPr>
        <w:contextualSpacing/>
        <w:rPr>
          <w:rFonts w:ascii="Times New Roman" w:hAnsi="Times New Roman" w:cs="Times New Roman"/>
          <w:sz w:val="28"/>
          <w:szCs w:val="28"/>
        </w:rPr>
      </w:pPr>
      <w:r w:rsidRPr="001E29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29DA">
        <w:rPr>
          <w:rFonts w:ascii="Times New Roman" w:hAnsi="Times New Roman" w:cs="Times New Roman"/>
          <w:sz w:val="28"/>
          <w:szCs w:val="28"/>
        </w:rPr>
        <w:tab/>
      </w:r>
      <w:r w:rsidRPr="001E29DA">
        <w:rPr>
          <w:rFonts w:ascii="Times New Roman" w:hAnsi="Times New Roman" w:cs="Times New Roman"/>
          <w:sz w:val="28"/>
          <w:szCs w:val="28"/>
        </w:rPr>
        <w:tab/>
      </w:r>
      <w:r w:rsidRPr="001E29DA">
        <w:rPr>
          <w:rFonts w:ascii="Times New Roman" w:hAnsi="Times New Roman" w:cs="Times New Roman"/>
          <w:sz w:val="28"/>
          <w:szCs w:val="28"/>
        </w:rPr>
        <w:tab/>
      </w:r>
      <w:r w:rsidRPr="001E29DA">
        <w:rPr>
          <w:rFonts w:ascii="Times New Roman" w:hAnsi="Times New Roman" w:cs="Times New Roman"/>
          <w:sz w:val="28"/>
          <w:szCs w:val="28"/>
        </w:rPr>
        <w:tab/>
      </w:r>
      <w:r w:rsidRPr="001E29DA">
        <w:rPr>
          <w:rFonts w:ascii="Times New Roman" w:hAnsi="Times New Roman" w:cs="Times New Roman"/>
          <w:sz w:val="28"/>
          <w:szCs w:val="28"/>
        </w:rPr>
        <w:tab/>
      </w:r>
      <w:r w:rsidRPr="001E29DA">
        <w:rPr>
          <w:rFonts w:ascii="Times New Roman" w:hAnsi="Times New Roman" w:cs="Times New Roman"/>
          <w:sz w:val="28"/>
          <w:szCs w:val="28"/>
        </w:rPr>
        <w:tab/>
        <w:t>В.М. Кочетков</w:t>
      </w:r>
    </w:p>
    <w:p w:rsidR="00CC29F4" w:rsidRDefault="00CC29F4" w:rsidP="00CC29F4">
      <w:pPr>
        <w:rPr>
          <w:sz w:val="28"/>
          <w:szCs w:val="28"/>
        </w:rPr>
      </w:pPr>
    </w:p>
    <w:p w:rsidR="00CC29F4" w:rsidRDefault="00CC29F4" w:rsidP="00CC29F4">
      <w:pPr>
        <w:rPr>
          <w:sz w:val="28"/>
          <w:szCs w:val="28"/>
        </w:rPr>
      </w:pPr>
    </w:p>
    <w:p w:rsidR="00CC29F4" w:rsidRDefault="00CC29F4" w:rsidP="00CC29F4">
      <w:pPr>
        <w:rPr>
          <w:sz w:val="28"/>
          <w:szCs w:val="28"/>
        </w:rPr>
      </w:pPr>
    </w:p>
    <w:p w:rsidR="006B2B4C" w:rsidRDefault="006B2B4C" w:rsidP="00CC29F4">
      <w:pPr>
        <w:rPr>
          <w:sz w:val="28"/>
          <w:szCs w:val="28"/>
        </w:rPr>
      </w:pPr>
    </w:p>
    <w:p w:rsidR="006B2B4C" w:rsidRDefault="006B2B4C" w:rsidP="00CC29F4">
      <w:pPr>
        <w:rPr>
          <w:sz w:val="28"/>
          <w:szCs w:val="28"/>
        </w:rPr>
      </w:pPr>
    </w:p>
    <w:p w:rsidR="006B2B4C" w:rsidRDefault="006B2B4C" w:rsidP="00CC29F4">
      <w:pPr>
        <w:rPr>
          <w:sz w:val="28"/>
          <w:szCs w:val="28"/>
        </w:rPr>
      </w:pPr>
    </w:p>
    <w:p w:rsidR="006B2B4C" w:rsidRDefault="006B2B4C" w:rsidP="00CC29F4">
      <w:pPr>
        <w:rPr>
          <w:sz w:val="28"/>
          <w:szCs w:val="28"/>
        </w:rPr>
      </w:pPr>
    </w:p>
    <w:p w:rsidR="006B2B4C" w:rsidRDefault="006B2B4C" w:rsidP="00CC29F4">
      <w:pPr>
        <w:rPr>
          <w:sz w:val="28"/>
          <w:szCs w:val="28"/>
        </w:rPr>
      </w:pPr>
    </w:p>
    <w:p w:rsidR="006B2B4C" w:rsidRDefault="006B2B4C" w:rsidP="00CC29F4">
      <w:pPr>
        <w:rPr>
          <w:sz w:val="28"/>
          <w:szCs w:val="28"/>
        </w:rPr>
      </w:pPr>
    </w:p>
    <w:p w:rsidR="006B2B4C" w:rsidRDefault="006B2B4C" w:rsidP="00CC29F4">
      <w:pPr>
        <w:rPr>
          <w:sz w:val="28"/>
          <w:szCs w:val="28"/>
        </w:rPr>
      </w:pPr>
    </w:p>
    <w:p w:rsidR="006B2B4C" w:rsidRDefault="006B2B4C" w:rsidP="00CC29F4">
      <w:pPr>
        <w:rPr>
          <w:sz w:val="28"/>
          <w:szCs w:val="28"/>
        </w:rPr>
      </w:pPr>
    </w:p>
    <w:p w:rsidR="00CC29F4" w:rsidRPr="001E29DA" w:rsidRDefault="00CC29F4" w:rsidP="00CC29F4">
      <w:pPr>
        <w:contextualSpacing/>
        <w:rPr>
          <w:rFonts w:ascii="Times New Roman" w:hAnsi="Times New Roman" w:cs="Times New Roman"/>
        </w:rPr>
      </w:pPr>
      <w:r w:rsidRPr="001E29DA">
        <w:rPr>
          <w:rFonts w:ascii="Times New Roman" w:hAnsi="Times New Roman" w:cs="Times New Roman"/>
        </w:rPr>
        <w:t>Исх.: Вахрушева А.С.</w:t>
      </w:r>
    </w:p>
    <w:p w:rsidR="00CC29F4" w:rsidRPr="001E29DA" w:rsidRDefault="00CC29F4" w:rsidP="00CC29F4">
      <w:pPr>
        <w:contextualSpacing/>
        <w:rPr>
          <w:rFonts w:ascii="Times New Roman" w:hAnsi="Times New Roman" w:cs="Times New Roman"/>
        </w:rPr>
      </w:pPr>
      <w:r w:rsidRPr="001E29DA">
        <w:rPr>
          <w:rFonts w:ascii="Times New Roman" w:hAnsi="Times New Roman" w:cs="Times New Roman"/>
        </w:rPr>
        <w:t>89247054376</w:t>
      </w:r>
    </w:p>
    <w:p w:rsidR="00CC29F4" w:rsidRDefault="00CC29F4" w:rsidP="00CC29F4">
      <w:pPr>
        <w:rPr>
          <w:sz w:val="28"/>
          <w:szCs w:val="28"/>
        </w:rPr>
      </w:pPr>
    </w:p>
    <w:p w:rsidR="00CC29F4" w:rsidRPr="001E29DA" w:rsidRDefault="00CC29F4" w:rsidP="00CC29F4">
      <w:pPr>
        <w:rPr>
          <w:sz w:val="28"/>
          <w:szCs w:val="28"/>
        </w:rPr>
        <w:sectPr w:rsidR="00CC29F4" w:rsidRPr="001E29DA" w:rsidSect="00937BBC">
          <w:headerReference w:type="even" r:id="rId7"/>
          <w:headerReference w:type="default" r:id="rId8"/>
          <w:pgSz w:w="11906" w:h="16838"/>
          <w:pgMar w:top="851" w:right="567" w:bottom="624" w:left="1134" w:header="709" w:footer="709" w:gutter="0"/>
          <w:cols w:space="708"/>
          <w:titlePg/>
          <w:docGrid w:linePitch="360"/>
        </w:sectPr>
      </w:pPr>
    </w:p>
    <w:p w:rsidR="00937BBC" w:rsidRPr="00C83526" w:rsidRDefault="00937BBC" w:rsidP="00937BBC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BBC" w:rsidRDefault="00937BBC" w:rsidP="00D0099B">
      <w:pPr>
        <w:spacing w:line="240" w:lineRule="auto"/>
        <w:ind w:left="4800"/>
        <w:contextualSpacing/>
        <w:jc w:val="right"/>
        <w:rPr>
          <w:rFonts w:ascii="Times New Roman" w:hAnsi="Times New Roman" w:cs="Times New Roman"/>
        </w:rPr>
      </w:pPr>
      <w:r w:rsidRPr="00C83526">
        <w:rPr>
          <w:rFonts w:ascii="Times New Roman" w:hAnsi="Times New Roman" w:cs="Times New Roman"/>
        </w:rPr>
        <w:t>Приложение 1</w:t>
      </w:r>
      <w:r w:rsidR="00D0099B">
        <w:rPr>
          <w:rFonts w:ascii="Times New Roman" w:hAnsi="Times New Roman" w:cs="Times New Roman"/>
        </w:rPr>
        <w:t xml:space="preserve"> </w:t>
      </w:r>
    </w:p>
    <w:p w:rsidR="00D0099B" w:rsidRPr="00DB0280" w:rsidRDefault="00D0099B" w:rsidP="00D0099B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02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0099B" w:rsidRPr="00DB0280" w:rsidRDefault="00D0099B" w:rsidP="00D0099B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0280">
        <w:rPr>
          <w:rFonts w:ascii="Times New Roman" w:hAnsi="Times New Roman" w:cs="Times New Roman"/>
          <w:sz w:val="24"/>
          <w:szCs w:val="24"/>
        </w:rPr>
        <w:t xml:space="preserve">Онотского муниципального </w:t>
      </w:r>
    </w:p>
    <w:p w:rsidR="00D0099B" w:rsidRPr="00DB0280" w:rsidRDefault="00D0099B" w:rsidP="00D0099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22.10.2019 г №73</w:t>
      </w:r>
    </w:p>
    <w:p w:rsidR="00D0099B" w:rsidRPr="00C83526" w:rsidRDefault="00D0099B" w:rsidP="00937BBC">
      <w:pPr>
        <w:ind w:left="666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BC" w:rsidRPr="00C83526" w:rsidRDefault="00937BBC" w:rsidP="00937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Объемы и источники финансирования муниципальной программы </w:t>
      </w:r>
      <w:r w:rsidRPr="00C83526">
        <w:rPr>
          <w:rFonts w:ascii="Times New Roman" w:hAnsi="Times New Roman" w:cs="Times New Roman"/>
          <w:b/>
          <w:sz w:val="28"/>
          <w:szCs w:val="28"/>
        </w:rPr>
        <w:br/>
        <w:t>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</w:r>
    </w:p>
    <w:p w:rsidR="00937BBC" w:rsidRPr="00C83526" w:rsidRDefault="00937BBC" w:rsidP="00937BBC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499"/>
        <w:gridCol w:w="1923"/>
        <w:gridCol w:w="1505"/>
        <w:gridCol w:w="1375"/>
        <w:gridCol w:w="785"/>
        <w:gridCol w:w="810"/>
        <w:gridCol w:w="718"/>
      </w:tblGrid>
      <w:tr w:rsidR="00937BBC" w:rsidRPr="00C83526" w:rsidTr="00937BBC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937BBC" w:rsidRPr="00C83526" w:rsidRDefault="00937BBC" w:rsidP="00937BBC">
            <w:pPr>
              <w:tabs>
                <w:tab w:val="left" w:pos="30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835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835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35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Цель, задача программы</w:t>
            </w:r>
          </w:p>
        </w:tc>
        <w:tc>
          <w:tcPr>
            <w:tcW w:w="1923" w:type="dxa"/>
            <w:vMerge w:val="restart"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3688" w:type="dxa"/>
            <w:gridSpan w:val="4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 xml:space="preserve">Объем финансирования муниципальной программы, </w:t>
            </w:r>
            <w:r w:rsidRPr="00C83526">
              <w:rPr>
                <w:rFonts w:ascii="Times New Roman" w:hAnsi="Times New Roman" w:cs="Times New Roman"/>
                <w:b/>
              </w:rPr>
              <w:br/>
              <w:t>тыс. руб.</w:t>
            </w:r>
          </w:p>
        </w:tc>
      </w:tr>
      <w:tr w:rsidR="00937BBC" w:rsidRPr="00C83526" w:rsidTr="00937BBC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937BBC" w:rsidRPr="00C83526" w:rsidRDefault="00937BBC" w:rsidP="00937BBC">
            <w:pPr>
              <w:tabs>
                <w:tab w:val="left" w:pos="30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vMerge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Merge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 w:val="restart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За весь период реализации</w:t>
            </w:r>
          </w:p>
        </w:tc>
        <w:tc>
          <w:tcPr>
            <w:tcW w:w="2313" w:type="dxa"/>
            <w:gridSpan w:val="3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</w:tr>
      <w:tr w:rsidR="00937BBC" w:rsidRPr="00C83526" w:rsidTr="00937BBC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vMerge/>
            <w:vAlign w:val="center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  <w:vAlign w:val="center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10" w:type="dxa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18" w:type="dxa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937BBC" w:rsidRPr="00C83526" w:rsidTr="00937BBC">
        <w:trPr>
          <w:trHeight w:val="441"/>
          <w:jc w:val="center"/>
        </w:trPr>
        <w:tc>
          <w:tcPr>
            <w:tcW w:w="10146" w:type="dxa"/>
            <w:gridSpan w:val="8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 </w:t>
            </w:r>
          </w:p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  <w:p w:rsidR="00937BBC" w:rsidRPr="00C83526" w:rsidRDefault="00937BBC" w:rsidP="00937BBC">
            <w:pPr>
              <w:tabs>
                <w:tab w:val="left" w:pos="1344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37BBC" w:rsidRPr="00C83526" w:rsidRDefault="00937BBC" w:rsidP="00937BBC">
            <w:pPr>
              <w:tabs>
                <w:tab w:val="left" w:pos="1344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3526">
              <w:rPr>
                <w:rFonts w:ascii="Times New Roman" w:hAnsi="Times New Roman" w:cs="Times New Roman"/>
                <w:b/>
                <w:i/>
                <w:u w:val="single"/>
              </w:rPr>
              <w:t>Цель Программы</w:t>
            </w:r>
            <w:r w:rsidRPr="00C83526">
              <w:rPr>
                <w:rFonts w:ascii="Times New Roman" w:hAnsi="Times New Roman" w:cs="Times New Roman"/>
                <w:b/>
                <w:i/>
              </w:rPr>
              <w:t>: Предотвращение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</w:tr>
      <w:tr w:rsidR="00937BBC" w:rsidRPr="00C83526" w:rsidTr="00937BBC">
        <w:trPr>
          <w:trHeight w:val="258"/>
          <w:jc w:val="center"/>
        </w:trPr>
        <w:tc>
          <w:tcPr>
            <w:tcW w:w="3030" w:type="dxa"/>
            <w:gridSpan w:val="2"/>
            <w:vMerge w:val="restart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923" w:type="dxa"/>
            <w:vMerge w:val="restart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Администрация Онотского муниципального образования</w:t>
            </w:r>
          </w:p>
        </w:tc>
        <w:tc>
          <w:tcPr>
            <w:tcW w:w="1505" w:type="dxa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937BBC" w:rsidRPr="00C83526" w:rsidRDefault="006B2B4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37BBC" w:rsidRPr="00C83526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85" w:type="dxa"/>
            <w:shd w:val="clear" w:color="auto" w:fill="auto"/>
          </w:tcPr>
          <w:p w:rsidR="00937BBC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37BBC"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937BBC" w:rsidRPr="00C83526" w:rsidRDefault="00281208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37BBC" w:rsidRPr="00C83526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18" w:type="dxa"/>
            <w:shd w:val="clear" w:color="auto" w:fill="auto"/>
          </w:tcPr>
          <w:p w:rsidR="00937BBC" w:rsidRPr="00C83526" w:rsidRDefault="00281208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37BBC" w:rsidRPr="00C83526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937BBC" w:rsidRPr="00C83526" w:rsidTr="00937BBC">
        <w:trPr>
          <w:trHeight w:val="134"/>
          <w:jc w:val="center"/>
        </w:trPr>
        <w:tc>
          <w:tcPr>
            <w:tcW w:w="3030" w:type="dxa"/>
            <w:gridSpan w:val="2"/>
            <w:vMerge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375" w:type="dxa"/>
            <w:shd w:val="clear" w:color="auto" w:fill="auto"/>
          </w:tcPr>
          <w:p w:rsidR="00937BBC" w:rsidRPr="00C83526" w:rsidRDefault="00281208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37BBC" w:rsidRPr="00C83526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85" w:type="dxa"/>
            <w:shd w:val="clear" w:color="auto" w:fill="auto"/>
          </w:tcPr>
          <w:p w:rsidR="00937BBC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37BBC"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937BBC" w:rsidRPr="00C83526" w:rsidRDefault="00281208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37BBC" w:rsidRPr="00C83526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18" w:type="dxa"/>
            <w:shd w:val="clear" w:color="auto" w:fill="auto"/>
          </w:tcPr>
          <w:p w:rsidR="00937BBC" w:rsidRPr="00C83526" w:rsidRDefault="00281208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37BBC" w:rsidRPr="00C83526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937BBC" w:rsidRPr="00C83526" w:rsidTr="00937BBC">
        <w:trPr>
          <w:trHeight w:val="166"/>
          <w:jc w:val="center"/>
        </w:trPr>
        <w:tc>
          <w:tcPr>
            <w:tcW w:w="3030" w:type="dxa"/>
            <w:gridSpan w:val="2"/>
            <w:vMerge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85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37BBC" w:rsidRPr="00C83526" w:rsidTr="00937BBC">
        <w:trPr>
          <w:trHeight w:val="553"/>
          <w:jc w:val="center"/>
        </w:trPr>
        <w:tc>
          <w:tcPr>
            <w:tcW w:w="10146" w:type="dxa"/>
            <w:gridSpan w:val="8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526">
              <w:rPr>
                <w:rFonts w:ascii="Times New Roman" w:hAnsi="Times New Roman" w:cs="Times New Roman"/>
                <w:b/>
                <w:i/>
                <w:u w:val="single"/>
              </w:rPr>
              <w:t>Задача</w:t>
            </w:r>
            <w:r w:rsidRPr="00C83526">
              <w:rPr>
                <w:rFonts w:ascii="Times New Roman" w:hAnsi="Times New Roman" w:cs="Times New Roman"/>
                <w:b/>
                <w:i/>
              </w:rPr>
              <w:t>: 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</w:tr>
      <w:tr w:rsidR="00937BBC" w:rsidRPr="00C83526" w:rsidTr="00937BBC">
        <w:trPr>
          <w:trHeight w:val="268"/>
          <w:jc w:val="center"/>
        </w:trPr>
        <w:tc>
          <w:tcPr>
            <w:tcW w:w="531" w:type="dxa"/>
            <w:vMerge w:val="restart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vMerge w:val="restart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1923" w:type="dxa"/>
            <w:vMerge w:val="restart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Администрация Онотского муниципального образования</w:t>
            </w:r>
          </w:p>
        </w:tc>
        <w:tc>
          <w:tcPr>
            <w:tcW w:w="1505" w:type="dxa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937BBC" w:rsidRPr="00C83526" w:rsidRDefault="00281208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937BBC" w:rsidRPr="00C8352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937BBC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10" w:type="dxa"/>
            <w:shd w:val="clear" w:color="auto" w:fill="auto"/>
          </w:tcPr>
          <w:p w:rsidR="00937BBC" w:rsidRPr="00C83526" w:rsidRDefault="00281208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37BBC" w:rsidRPr="00C83526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718" w:type="dxa"/>
            <w:shd w:val="clear" w:color="auto" w:fill="auto"/>
          </w:tcPr>
          <w:p w:rsidR="00937BBC" w:rsidRPr="00C83526" w:rsidRDefault="00281208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37BBC" w:rsidRPr="00C83526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952087" w:rsidRPr="00C83526" w:rsidTr="00937BBC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952087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952087" w:rsidRPr="00C83526" w:rsidRDefault="00952087" w:rsidP="00937B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</w:tcPr>
          <w:p w:rsidR="00952087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52087" w:rsidRPr="00C83526" w:rsidRDefault="00952087" w:rsidP="00937BBC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  <w:shd w:val="clear" w:color="auto" w:fill="auto"/>
          </w:tcPr>
          <w:p w:rsidR="00952087" w:rsidRPr="00C83526" w:rsidRDefault="00281208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52087" w:rsidRPr="00C835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952087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10" w:type="dxa"/>
            <w:shd w:val="clear" w:color="auto" w:fill="auto"/>
          </w:tcPr>
          <w:p w:rsidR="00952087" w:rsidRPr="00C83526" w:rsidRDefault="00281208" w:rsidP="008479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52087" w:rsidRPr="00C83526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718" w:type="dxa"/>
            <w:shd w:val="clear" w:color="auto" w:fill="auto"/>
          </w:tcPr>
          <w:p w:rsidR="00952087" w:rsidRPr="00C83526" w:rsidRDefault="00281208" w:rsidP="008479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52087" w:rsidRPr="00C83526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937BBC" w:rsidRPr="00C83526" w:rsidTr="00937BBC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</w:tr>
      <w:tr w:rsidR="00937BBC" w:rsidRPr="00C83526" w:rsidTr="00937BBC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8352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здание</w:t>
            </w:r>
            <w:r w:rsidRPr="00C83526">
              <w:rPr>
                <w:rFonts w:ascii="Times New Roman" w:hAnsi="Times New Roman" w:cs="Times New Roman"/>
              </w:rPr>
              <w:t xml:space="preserve"> контейнерных площадок (20 шт.)</w:t>
            </w:r>
          </w:p>
        </w:tc>
        <w:tc>
          <w:tcPr>
            <w:tcW w:w="1923" w:type="dxa"/>
            <w:vMerge w:val="restart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Администрация Онотского муниципального образования</w:t>
            </w:r>
          </w:p>
        </w:tc>
        <w:tc>
          <w:tcPr>
            <w:tcW w:w="1505" w:type="dxa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937BBC" w:rsidRPr="00C83526" w:rsidRDefault="00774635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937BBC" w:rsidRPr="00C8352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85" w:type="dxa"/>
            <w:shd w:val="clear" w:color="auto" w:fill="auto"/>
          </w:tcPr>
          <w:p w:rsidR="00937BBC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  <w:r w:rsidR="00937BBC" w:rsidRPr="00C8352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10" w:type="dxa"/>
            <w:shd w:val="clear" w:color="auto" w:fill="auto"/>
          </w:tcPr>
          <w:p w:rsidR="00937BBC" w:rsidRPr="00C83526" w:rsidRDefault="00281208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5208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8" w:type="dxa"/>
            <w:shd w:val="clear" w:color="auto" w:fill="auto"/>
          </w:tcPr>
          <w:p w:rsidR="00937BBC" w:rsidRPr="00C83526" w:rsidRDefault="00281208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5208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37BBC" w:rsidRPr="00C83526" w:rsidTr="00937BBC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  <w:shd w:val="clear" w:color="auto" w:fill="auto"/>
          </w:tcPr>
          <w:p w:rsidR="00937BBC" w:rsidRPr="00C83526" w:rsidRDefault="00774635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37BBC" w:rsidRPr="00C835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shd w:val="clear" w:color="auto" w:fill="auto"/>
          </w:tcPr>
          <w:p w:rsidR="00937BBC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937BBC" w:rsidRPr="00C835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0" w:type="dxa"/>
            <w:shd w:val="clear" w:color="auto" w:fill="auto"/>
          </w:tcPr>
          <w:p w:rsidR="00937BBC" w:rsidRPr="00C83526" w:rsidRDefault="00774635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520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auto"/>
          </w:tcPr>
          <w:p w:rsidR="00937BBC" w:rsidRPr="00C83526" w:rsidRDefault="00774635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520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BBC" w:rsidRPr="00C83526" w:rsidTr="00937BBC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</w:tr>
      <w:tr w:rsidR="00937BBC" w:rsidRPr="00C83526" w:rsidTr="00937BBC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 xml:space="preserve">Приобретение контейнеров (100 шт.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C83526">
                <w:rPr>
                  <w:rFonts w:ascii="Times New Roman" w:hAnsi="Times New Roman" w:cs="Times New Roman"/>
                </w:rPr>
                <w:t>0,75 м³</w:t>
              </w:r>
            </w:smartTag>
            <w:r w:rsidRPr="00C835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3" w:type="dxa"/>
            <w:vMerge w:val="restart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Администрация Онотского муниципального образования</w:t>
            </w:r>
          </w:p>
        </w:tc>
        <w:tc>
          <w:tcPr>
            <w:tcW w:w="1505" w:type="dxa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785" w:type="dxa"/>
            <w:shd w:val="clear" w:color="auto" w:fill="auto"/>
          </w:tcPr>
          <w:p w:rsidR="00937BBC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10" w:type="dxa"/>
            <w:shd w:val="clear" w:color="auto" w:fill="auto"/>
          </w:tcPr>
          <w:p w:rsidR="00937BBC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718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37BBC" w:rsidRPr="00C83526" w:rsidTr="00937BBC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85" w:type="dxa"/>
            <w:shd w:val="clear" w:color="auto" w:fill="auto"/>
          </w:tcPr>
          <w:p w:rsidR="00937BBC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10" w:type="dxa"/>
            <w:shd w:val="clear" w:color="auto" w:fill="auto"/>
          </w:tcPr>
          <w:p w:rsidR="00937BBC" w:rsidRPr="00C83526" w:rsidRDefault="00952087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8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</w:tr>
      <w:tr w:rsidR="00937BBC" w:rsidRPr="00C83526" w:rsidTr="00937BBC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37BBC" w:rsidRPr="00C83526" w:rsidRDefault="00937BBC" w:rsidP="00937BBC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937BBC" w:rsidRPr="00C83526" w:rsidRDefault="00937BBC" w:rsidP="00937B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37BBC" w:rsidRPr="00C83526" w:rsidRDefault="00937BBC" w:rsidP="00937BBC">
      <w:pPr>
        <w:contextualSpacing/>
        <w:rPr>
          <w:rFonts w:ascii="Times New Roman" w:hAnsi="Times New Roman" w:cs="Times New Roman"/>
        </w:rPr>
      </w:pPr>
    </w:p>
    <w:p w:rsidR="00937BBC" w:rsidRPr="00C83526" w:rsidRDefault="00937BBC" w:rsidP="00937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7BBC" w:rsidRPr="00C83526" w:rsidRDefault="00937BBC" w:rsidP="00937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37BBC" w:rsidRDefault="00937BBC" w:rsidP="00CC29F4">
      <w:pPr>
        <w:pStyle w:val="aa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sectPr w:rsidR="00937BBC" w:rsidSect="00B9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3E" w:rsidRDefault="00741E3E" w:rsidP="00CC71DA">
      <w:pPr>
        <w:spacing w:after="0" w:line="240" w:lineRule="auto"/>
      </w:pPr>
      <w:r>
        <w:separator/>
      </w:r>
    </w:p>
  </w:endnote>
  <w:endnote w:type="continuationSeparator" w:id="0">
    <w:p w:rsidR="00741E3E" w:rsidRDefault="00741E3E" w:rsidP="00CC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3E" w:rsidRDefault="00741E3E" w:rsidP="00CC71DA">
      <w:pPr>
        <w:spacing w:after="0" w:line="240" w:lineRule="auto"/>
      </w:pPr>
      <w:r>
        <w:separator/>
      </w:r>
    </w:p>
  </w:footnote>
  <w:footnote w:type="continuationSeparator" w:id="0">
    <w:p w:rsidR="00741E3E" w:rsidRDefault="00741E3E" w:rsidP="00CC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BC" w:rsidRDefault="00CC71DA" w:rsidP="00937BBC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37BB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52087">
      <w:rPr>
        <w:rStyle w:val="af0"/>
        <w:noProof/>
      </w:rPr>
      <w:t>2</w:t>
    </w:r>
    <w:r>
      <w:rPr>
        <w:rStyle w:val="af0"/>
      </w:rPr>
      <w:fldChar w:fldCharType="end"/>
    </w:r>
  </w:p>
  <w:p w:rsidR="00937BBC" w:rsidRDefault="00937BB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BC" w:rsidRDefault="00CC71DA" w:rsidP="00937BBC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37BB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0099B">
      <w:rPr>
        <w:rStyle w:val="af0"/>
        <w:noProof/>
      </w:rPr>
      <w:t>6</w:t>
    </w:r>
    <w:r>
      <w:rPr>
        <w:rStyle w:val="af0"/>
      </w:rPr>
      <w:fldChar w:fldCharType="end"/>
    </w:r>
  </w:p>
  <w:p w:rsidR="00937BBC" w:rsidRDefault="00937BBC" w:rsidP="00937BB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11AB"/>
    <w:multiLevelType w:val="multilevel"/>
    <w:tmpl w:val="269EF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9F4"/>
    <w:rsid w:val="00051A77"/>
    <w:rsid w:val="00281208"/>
    <w:rsid w:val="002E5C88"/>
    <w:rsid w:val="006B2B4C"/>
    <w:rsid w:val="00741E3E"/>
    <w:rsid w:val="007735AB"/>
    <w:rsid w:val="00774635"/>
    <w:rsid w:val="0078201A"/>
    <w:rsid w:val="008610AE"/>
    <w:rsid w:val="00937BBC"/>
    <w:rsid w:val="00952087"/>
    <w:rsid w:val="00B92AF9"/>
    <w:rsid w:val="00CC29F4"/>
    <w:rsid w:val="00CC71DA"/>
    <w:rsid w:val="00D0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</w:style>
  <w:style w:type="paragraph" w:customStyle="1" w:styleId="Style1">
    <w:name w:val="Style1"/>
    <w:basedOn w:val="a"/>
    <w:rsid w:val="00CC29F4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C29F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C29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C29F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CC29F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2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29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C29F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"/>
    <w:link w:val="ab"/>
    <w:unhideWhenUsed/>
    <w:rsid w:val="00CC2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C2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C29F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C29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C2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CC29F4"/>
    <w:rPr>
      <w:rFonts w:eastAsiaTheme="minorEastAsia"/>
      <w:lang w:eastAsia="ru-RU"/>
    </w:rPr>
  </w:style>
  <w:style w:type="character" w:customStyle="1" w:styleId="af">
    <w:name w:val="Основной текст_"/>
    <w:link w:val="4"/>
    <w:locked/>
    <w:rsid w:val="00CC29F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CC29F4"/>
    <w:pPr>
      <w:widowControl w:val="0"/>
      <w:shd w:val="clear" w:color="auto" w:fill="FFFFFF"/>
      <w:spacing w:before="720" w:after="600" w:line="320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CC29F4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f0">
    <w:name w:val="page number"/>
    <w:basedOn w:val="a0"/>
    <w:rsid w:val="00CC29F4"/>
  </w:style>
  <w:style w:type="paragraph" w:styleId="af1">
    <w:name w:val="List Paragraph"/>
    <w:basedOn w:val="a"/>
    <w:uiPriority w:val="34"/>
    <w:qFormat/>
    <w:rsid w:val="00CC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2019-11-06T01:02:00Z</cp:lastPrinted>
  <dcterms:created xsi:type="dcterms:W3CDTF">2019-10-29T04:34:00Z</dcterms:created>
  <dcterms:modified xsi:type="dcterms:W3CDTF">2019-11-06T01:04:00Z</dcterms:modified>
</cp:coreProperties>
</file>